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8377" w14:textId="39611AF9" w:rsidR="00A134FE" w:rsidRPr="00A134FE" w:rsidRDefault="00A134FE" w:rsidP="00A134FE">
      <w:pPr>
        <w:tabs>
          <w:tab w:val="left" w:pos="9720"/>
        </w:tabs>
        <w:jc w:val="center"/>
        <w:rPr>
          <w:rFonts w:ascii="Arial" w:hAnsi="Arial" w:cs="Arial"/>
          <w:sz w:val="20"/>
          <w:szCs w:val="24"/>
          <w:lang w:val="mn-MN"/>
        </w:rPr>
      </w:pPr>
      <w:r w:rsidRPr="002823FA">
        <w:rPr>
          <w:rFonts w:ascii="Arial" w:hAnsi="Arial" w:cs="Arial"/>
          <w:sz w:val="20"/>
          <w:szCs w:val="24"/>
          <w:lang w:val="mn-MN"/>
        </w:rPr>
        <w:t>“</w:t>
      </w:r>
      <w:r w:rsidR="00770B87">
        <w:rPr>
          <w:rFonts w:ascii="Arial" w:hAnsi="Arial" w:cs="Arial"/>
          <w:sz w:val="20"/>
          <w:szCs w:val="24"/>
          <w:lang w:val="mn-MN"/>
        </w:rPr>
        <w:t>..................................</w:t>
      </w:r>
      <w:r>
        <w:rPr>
          <w:rFonts w:ascii="Arial" w:hAnsi="Arial" w:cs="Arial"/>
          <w:sz w:val="20"/>
          <w:szCs w:val="24"/>
        </w:rPr>
        <w:t>……..</w:t>
      </w:r>
      <w:r>
        <w:rPr>
          <w:rFonts w:ascii="Arial" w:hAnsi="Arial" w:cs="Arial"/>
          <w:sz w:val="20"/>
          <w:szCs w:val="24"/>
          <w:lang w:val="mn-MN"/>
        </w:rPr>
        <w:t>” .....</w:t>
      </w:r>
      <w:r w:rsidRPr="002823FA">
        <w:rPr>
          <w:rFonts w:ascii="Arial" w:hAnsi="Arial" w:cs="Arial"/>
          <w:sz w:val="20"/>
          <w:szCs w:val="24"/>
          <w:lang w:val="mn-MN"/>
        </w:rPr>
        <w:t>-</w:t>
      </w:r>
      <w:r w:rsidR="00770B87">
        <w:rPr>
          <w:rFonts w:ascii="Arial" w:hAnsi="Arial" w:cs="Arial"/>
          <w:sz w:val="20"/>
          <w:szCs w:val="24"/>
          <w:lang w:val="mn-MN"/>
        </w:rPr>
        <w:t>Ы</w:t>
      </w:r>
      <w:bookmarkStart w:id="0" w:name="_GoBack"/>
      <w:bookmarkEnd w:id="0"/>
      <w:r w:rsidRPr="002823FA">
        <w:rPr>
          <w:rFonts w:ascii="Arial" w:hAnsi="Arial" w:cs="Arial"/>
          <w:sz w:val="20"/>
          <w:lang w:val="mn-MN"/>
        </w:rPr>
        <w:t xml:space="preserve">Н </w:t>
      </w:r>
      <w:r w:rsidR="00C75D0C" w:rsidRPr="002823FA">
        <w:rPr>
          <w:rFonts w:ascii="Arial" w:hAnsi="Arial" w:cs="Arial"/>
          <w:sz w:val="20"/>
          <w:lang w:val="mn-MN"/>
        </w:rPr>
        <w:t xml:space="preserve">ХСУХАТАҮЗ ЗӨВЛӨЛТЭЙ </w:t>
      </w:r>
    </w:p>
    <w:p w14:paraId="1FD234B0" w14:textId="0705AE0E" w:rsidR="00C75D0C" w:rsidRPr="002823FA" w:rsidRDefault="00A134FE" w:rsidP="00C75D0C">
      <w:pPr>
        <w:rPr>
          <w:rFonts w:ascii="Arial" w:hAnsi="Arial" w:cs="Arial"/>
          <w:sz w:val="20"/>
          <w:lang w:val="mn-MN"/>
        </w:rPr>
      </w:pPr>
      <w:r>
        <w:rPr>
          <w:rFonts w:ascii="Arial" w:hAnsi="Arial" w:cs="Arial"/>
          <w:sz w:val="20"/>
          <w:lang w:val="mn-MN"/>
        </w:rPr>
        <w:t xml:space="preserve">                                                              </w:t>
      </w:r>
      <w:r w:rsidR="0011291A">
        <w:rPr>
          <w:rFonts w:ascii="Arial" w:hAnsi="Arial" w:cs="Arial"/>
          <w:sz w:val="20"/>
          <w:lang w:val="mn-MN"/>
        </w:rPr>
        <w:t>БАЙГУУЛСАН</w:t>
      </w:r>
      <w:r w:rsidR="00C75D0C" w:rsidRPr="002823FA">
        <w:rPr>
          <w:rFonts w:ascii="Arial" w:hAnsi="Arial" w:cs="Arial"/>
          <w:sz w:val="20"/>
          <w:lang w:val="mn-MN"/>
        </w:rPr>
        <w:t xml:space="preserve"> </w:t>
      </w:r>
      <w:r w:rsidR="00770B87">
        <w:rPr>
          <w:rFonts w:ascii="Arial" w:hAnsi="Arial" w:cs="Arial"/>
          <w:sz w:val="20"/>
          <w:lang w:val="mn-MN"/>
        </w:rPr>
        <w:t>2021</w:t>
      </w:r>
      <w:r w:rsidR="0011291A">
        <w:rPr>
          <w:rFonts w:ascii="Arial" w:hAnsi="Arial" w:cs="Arial"/>
          <w:sz w:val="20"/>
          <w:lang w:val="mn-MN"/>
        </w:rPr>
        <w:t xml:space="preserve"> ОНЫ </w:t>
      </w:r>
      <w:r w:rsidR="00C75D0C" w:rsidRPr="002823FA">
        <w:rPr>
          <w:rFonts w:ascii="Arial" w:hAnsi="Arial" w:cs="Arial"/>
          <w:sz w:val="20"/>
          <w:lang w:val="mn-MN"/>
        </w:rPr>
        <w:t xml:space="preserve">ГҮЙЦЭТГЭЛИЙН ГЭРЭЭНИЙ </w:t>
      </w:r>
      <w:r w:rsidR="009E28BB" w:rsidRPr="002823FA">
        <w:rPr>
          <w:rFonts w:ascii="Arial" w:hAnsi="Arial" w:cs="Arial"/>
          <w:sz w:val="20"/>
          <w:lang w:val="mn-MN"/>
        </w:rPr>
        <w:t>БИЕЛЭЛТ</w:t>
      </w:r>
      <w:r w:rsidR="00C75D0C" w:rsidRPr="002823FA">
        <w:rPr>
          <w:rFonts w:ascii="Arial" w:hAnsi="Arial" w:cs="Arial"/>
          <w:sz w:val="20"/>
          <w:lang w:val="mn-MN"/>
        </w:rPr>
        <w:t xml:space="preserve">                                 </w:t>
      </w:r>
    </w:p>
    <w:tbl>
      <w:tblPr>
        <w:tblStyle w:val="TableGrid1"/>
        <w:tblW w:w="11448" w:type="dxa"/>
        <w:tblLook w:val="04A0" w:firstRow="1" w:lastRow="0" w:firstColumn="1" w:lastColumn="0" w:noHBand="0" w:noVBand="1"/>
      </w:tblPr>
      <w:tblGrid>
        <w:gridCol w:w="1076"/>
        <w:gridCol w:w="6403"/>
        <w:gridCol w:w="3969"/>
      </w:tblGrid>
      <w:tr w:rsidR="00770B87" w:rsidRPr="00770B87" w14:paraId="3A42F4F0" w14:textId="77777777" w:rsidTr="00770B87">
        <w:trPr>
          <w:trHeight w:val="227"/>
        </w:trPr>
        <w:tc>
          <w:tcPr>
            <w:tcW w:w="1076" w:type="dxa"/>
            <w:vAlign w:val="center"/>
          </w:tcPr>
          <w:p w14:paraId="24F6C350" w14:textId="059B37E9"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 xml:space="preserve">Гэрээний заалт </w:t>
            </w:r>
          </w:p>
        </w:tc>
        <w:tc>
          <w:tcPr>
            <w:tcW w:w="6403" w:type="dxa"/>
            <w:vAlign w:val="center"/>
          </w:tcPr>
          <w:p w14:paraId="29AF9780"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Гэрээний заалт</w:t>
            </w:r>
          </w:p>
        </w:tc>
        <w:tc>
          <w:tcPr>
            <w:tcW w:w="3969" w:type="dxa"/>
            <w:vAlign w:val="center"/>
          </w:tcPr>
          <w:p w14:paraId="5053CF42"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Биелэлт</w:t>
            </w:r>
          </w:p>
        </w:tc>
      </w:tr>
      <w:tr w:rsidR="00770B87" w:rsidRPr="00770B87" w14:paraId="4337A238" w14:textId="77777777" w:rsidTr="00770B87">
        <w:trPr>
          <w:trHeight w:val="340"/>
        </w:trPr>
        <w:tc>
          <w:tcPr>
            <w:tcW w:w="1076" w:type="dxa"/>
            <w:vAlign w:val="center"/>
          </w:tcPr>
          <w:p w14:paraId="35BB6C7C"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3.1</w:t>
            </w:r>
          </w:p>
          <w:p w14:paraId="723DADF5" w14:textId="77777777" w:rsidR="00770B87" w:rsidRPr="00770B87" w:rsidRDefault="00770B87" w:rsidP="00770B87">
            <w:pPr>
              <w:spacing w:line="256" w:lineRule="auto"/>
              <w:jc w:val="center"/>
              <w:rPr>
                <w:rFonts w:ascii="Arial" w:eastAsia="Calibri" w:hAnsi="Arial" w:cs="Arial"/>
                <w:sz w:val="20"/>
                <w:szCs w:val="20"/>
              </w:rPr>
            </w:pPr>
          </w:p>
        </w:tc>
        <w:tc>
          <w:tcPr>
            <w:tcW w:w="6403" w:type="dxa"/>
            <w:vAlign w:val="center"/>
          </w:tcPr>
          <w:p w14:paraId="434772D6"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 xml:space="preserve">Холбогдох хууль тогтоомж болон эрх бүхий байгууллагаас батлан гаргасан дүрэм, норм, стандарт, журмыг чанд биелүүлэн, үйлчилгээний чанар, стандартыг мөрдөж, хэрэглэгчийн эрх ашгийг дээдлэн ажиллана. </w:t>
            </w:r>
          </w:p>
        </w:tc>
        <w:tc>
          <w:tcPr>
            <w:tcW w:w="3969" w:type="dxa"/>
            <w:vAlign w:val="center"/>
          </w:tcPr>
          <w:p w14:paraId="270D45B3"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29F5F9EF" w14:textId="77777777" w:rsidTr="00770B87">
        <w:trPr>
          <w:trHeight w:val="393"/>
        </w:trPr>
        <w:tc>
          <w:tcPr>
            <w:tcW w:w="1076" w:type="dxa"/>
            <w:vAlign w:val="center"/>
          </w:tcPr>
          <w:p w14:paraId="48570F0B" w14:textId="77777777" w:rsidR="00770B87" w:rsidRPr="00770B87" w:rsidRDefault="00770B87" w:rsidP="00770B87">
            <w:pPr>
              <w:spacing w:line="256" w:lineRule="auto"/>
              <w:jc w:val="center"/>
              <w:rPr>
                <w:rFonts w:ascii="Arial" w:eastAsia="Calibri" w:hAnsi="Arial" w:cs="Arial"/>
                <w:sz w:val="20"/>
                <w:szCs w:val="20"/>
              </w:rPr>
            </w:pPr>
          </w:p>
          <w:p w14:paraId="4EE8E486"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3.2</w:t>
            </w:r>
          </w:p>
          <w:p w14:paraId="5793C61D" w14:textId="77777777" w:rsidR="00770B87" w:rsidRPr="00770B87" w:rsidRDefault="00770B87" w:rsidP="00770B87">
            <w:pPr>
              <w:spacing w:line="256" w:lineRule="auto"/>
              <w:jc w:val="center"/>
              <w:rPr>
                <w:rFonts w:ascii="Arial" w:eastAsia="Calibri" w:hAnsi="Arial" w:cs="Arial"/>
                <w:sz w:val="20"/>
                <w:szCs w:val="20"/>
              </w:rPr>
            </w:pPr>
          </w:p>
        </w:tc>
        <w:tc>
          <w:tcPr>
            <w:tcW w:w="6403" w:type="dxa"/>
            <w:vAlign w:val="center"/>
          </w:tcPr>
          <w:p w14:paraId="5B2433C7"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Аж ахуйн нэгж, байгууллагынхаа үйл ажиллагааны стратеги болон бизнес төлөвлөгөөг батлан, мөрдөж ажиллана.</w:t>
            </w:r>
          </w:p>
        </w:tc>
        <w:tc>
          <w:tcPr>
            <w:tcW w:w="3969" w:type="dxa"/>
            <w:vAlign w:val="center"/>
          </w:tcPr>
          <w:p w14:paraId="16E3530E"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7AC07F5D" w14:textId="77777777" w:rsidTr="00770B87">
        <w:trPr>
          <w:trHeight w:val="666"/>
        </w:trPr>
        <w:tc>
          <w:tcPr>
            <w:tcW w:w="1076" w:type="dxa"/>
            <w:vAlign w:val="center"/>
          </w:tcPr>
          <w:p w14:paraId="5C8201FD"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3.3</w:t>
            </w:r>
          </w:p>
          <w:p w14:paraId="029341A6" w14:textId="77777777" w:rsidR="00770B87" w:rsidRPr="00770B87" w:rsidRDefault="00770B87" w:rsidP="00770B87">
            <w:pPr>
              <w:spacing w:line="256" w:lineRule="auto"/>
              <w:jc w:val="center"/>
              <w:rPr>
                <w:rFonts w:ascii="Arial" w:eastAsia="Calibri" w:hAnsi="Arial" w:cs="Arial"/>
                <w:sz w:val="20"/>
                <w:szCs w:val="20"/>
              </w:rPr>
            </w:pPr>
          </w:p>
        </w:tc>
        <w:tc>
          <w:tcPr>
            <w:tcW w:w="6403" w:type="dxa"/>
            <w:vAlign w:val="center"/>
          </w:tcPr>
          <w:p w14:paraId="664A1EA5"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Үйл ажиллагааны болон санхүү эдийн засгийн тайлан мэдээ, гэрээний биелэлт, гүйцэтгэлийн шалгуур үзүүлэлтийг батлагдсан загварын дагуу гаргаж, тогтоосон хугацаанд Зохицуулах зөвлөлд ирүүлэх ба гэрээний биелэлтийг жил бүр дүгнүүлж, баталгаажуулна.</w:t>
            </w:r>
          </w:p>
        </w:tc>
        <w:tc>
          <w:tcPr>
            <w:tcW w:w="3969" w:type="dxa"/>
            <w:vAlign w:val="center"/>
          </w:tcPr>
          <w:p w14:paraId="448699A1" w14:textId="77777777" w:rsidR="00770B87" w:rsidRPr="00770B87" w:rsidRDefault="00770B87" w:rsidP="00770B87">
            <w:pPr>
              <w:spacing w:line="256" w:lineRule="auto"/>
              <w:jc w:val="center"/>
              <w:rPr>
                <w:rFonts w:ascii="Arial" w:eastAsia="Calibri" w:hAnsi="Arial" w:cs="Arial"/>
                <w:szCs w:val="24"/>
              </w:rPr>
            </w:pPr>
          </w:p>
        </w:tc>
      </w:tr>
      <w:tr w:rsidR="00770B87" w:rsidRPr="00770B87" w14:paraId="7030FAF9" w14:textId="77777777" w:rsidTr="00770B87">
        <w:trPr>
          <w:trHeight w:val="227"/>
        </w:trPr>
        <w:tc>
          <w:tcPr>
            <w:tcW w:w="1076" w:type="dxa"/>
            <w:vAlign w:val="center"/>
          </w:tcPr>
          <w:p w14:paraId="45E316BC"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 xml:space="preserve">3.4 </w:t>
            </w:r>
          </w:p>
          <w:p w14:paraId="33EBFF31" w14:textId="77777777" w:rsidR="00770B87" w:rsidRPr="00770B87" w:rsidRDefault="00770B87" w:rsidP="00770B87">
            <w:pPr>
              <w:spacing w:line="256" w:lineRule="auto"/>
              <w:jc w:val="center"/>
              <w:rPr>
                <w:rFonts w:ascii="Arial" w:eastAsia="Calibri" w:hAnsi="Arial" w:cs="Arial"/>
                <w:sz w:val="20"/>
                <w:szCs w:val="20"/>
              </w:rPr>
            </w:pPr>
          </w:p>
        </w:tc>
        <w:tc>
          <w:tcPr>
            <w:tcW w:w="6403" w:type="dxa"/>
            <w:vAlign w:val="center"/>
          </w:tcPr>
          <w:p w14:paraId="7FA9CCEB"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Мэдээллийн санд өөрийн аж ахуйн нэгж, байгууллагын үйл ажиллагаа болон санхүү, эдийн засгийн мэдээ, тайланг үнэн зөвөөр оруулах ба мэдээллийн аюулгүй байдлыг хангаж ажиллана.</w:t>
            </w:r>
          </w:p>
        </w:tc>
        <w:tc>
          <w:tcPr>
            <w:tcW w:w="3969" w:type="dxa"/>
            <w:vAlign w:val="center"/>
          </w:tcPr>
          <w:p w14:paraId="30275692"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6D2D8B17" w14:textId="77777777" w:rsidTr="00770B87">
        <w:trPr>
          <w:trHeight w:val="227"/>
        </w:trPr>
        <w:tc>
          <w:tcPr>
            <w:tcW w:w="1076" w:type="dxa"/>
            <w:vAlign w:val="center"/>
          </w:tcPr>
          <w:p w14:paraId="22191DCB"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3.5</w:t>
            </w:r>
          </w:p>
          <w:p w14:paraId="3898A7A0" w14:textId="77777777" w:rsidR="00770B87" w:rsidRPr="00770B87" w:rsidRDefault="00770B87" w:rsidP="00770B87">
            <w:pPr>
              <w:spacing w:line="256" w:lineRule="auto"/>
              <w:jc w:val="center"/>
              <w:rPr>
                <w:rFonts w:ascii="Arial" w:eastAsia="Calibri" w:hAnsi="Arial" w:cs="Arial"/>
                <w:sz w:val="20"/>
                <w:szCs w:val="20"/>
              </w:rPr>
            </w:pPr>
          </w:p>
        </w:tc>
        <w:tc>
          <w:tcPr>
            <w:tcW w:w="6403" w:type="dxa"/>
            <w:vAlign w:val="center"/>
          </w:tcPr>
          <w:p w14:paraId="5363656A"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ТЗЭ болон холбогдох удирдах албан тушаалтан /дарга, захирал, ерөнхий инженер, ерөнхий нягтлан бодогч/ өөрчлөгдсөн тохиолдолд Зохицуулах зөвлөлд ажлын 10 хоногийн дотор мэдэгдэж, мэдээллийн санд бүртгүүлнэ.</w:t>
            </w:r>
          </w:p>
        </w:tc>
        <w:tc>
          <w:tcPr>
            <w:tcW w:w="3969" w:type="dxa"/>
            <w:vAlign w:val="center"/>
          </w:tcPr>
          <w:p w14:paraId="27366781"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773889D5" w14:textId="77777777" w:rsidTr="00770B87">
        <w:trPr>
          <w:trHeight w:val="929"/>
        </w:trPr>
        <w:tc>
          <w:tcPr>
            <w:tcW w:w="1076" w:type="dxa"/>
            <w:vAlign w:val="center"/>
          </w:tcPr>
          <w:p w14:paraId="073DD949"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3.6</w:t>
            </w:r>
          </w:p>
          <w:p w14:paraId="6AC57698" w14:textId="77777777" w:rsidR="00770B87" w:rsidRPr="00770B87" w:rsidRDefault="00770B87" w:rsidP="00770B87">
            <w:pPr>
              <w:spacing w:line="256" w:lineRule="auto"/>
              <w:jc w:val="center"/>
              <w:rPr>
                <w:rFonts w:ascii="Arial" w:eastAsia="Calibri" w:hAnsi="Arial" w:cs="Arial"/>
                <w:sz w:val="20"/>
                <w:szCs w:val="20"/>
              </w:rPr>
            </w:pPr>
          </w:p>
        </w:tc>
        <w:tc>
          <w:tcPr>
            <w:tcW w:w="6403" w:type="dxa"/>
            <w:vAlign w:val="center"/>
          </w:tcPr>
          <w:p w14:paraId="3463A473"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ТЗЭ нь элэгдлийн зардлын тайлан мэдээг жил бүр тусгайлан гаргаж ирүүлэх бөгөөд хуримтлагдсан элэгдлийн зардлаас дараа онд зарцуулах зөвшөөрөл авах ба хөрөнгө оруулалт хийх, шинэ төсөл хөтөлбөр хэрэгжүүлэхийн өмнө Зохицуулах зөвлөлд мэдэгдэн, ТЭЗҮ-ийг ирүүлж, тарифын зохицуулалтын талаар шийдвэр гаргуулсны үндсэн дээр хэрэгжүүлнэ.</w:t>
            </w:r>
          </w:p>
        </w:tc>
        <w:tc>
          <w:tcPr>
            <w:tcW w:w="3969" w:type="dxa"/>
            <w:vAlign w:val="center"/>
          </w:tcPr>
          <w:p w14:paraId="6DA893BC"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06AFBDE6" w14:textId="77777777" w:rsidTr="00770B87">
        <w:trPr>
          <w:trHeight w:val="227"/>
        </w:trPr>
        <w:tc>
          <w:tcPr>
            <w:tcW w:w="1076" w:type="dxa"/>
            <w:vAlign w:val="center"/>
          </w:tcPr>
          <w:p w14:paraId="4F0C9801"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3.7</w:t>
            </w:r>
          </w:p>
        </w:tc>
        <w:tc>
          <w:tcPr>
            <w:tcW w:w="6403" w:type="dxa"/>
            <w:vAlign w:val="center"/>
          </w:tcPr>
          <w:p w14:paraId="3130404C"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Хөдөлмөрийн аюулгүй байдал, эрүүл ахуйн нөхцөлийн стандартыг баримтлан, нийт ажилтан, албан хаагчтай байгуулах хөдөлмөрийн харилцааг зохицуулсан гэрээнд хөдөлмөр хамгааллын талаарх эрх, үүргийг тодорхой тусгаж, аюулгүй ажиллагааг ханган ажиллана.</w:t>
            </w:r>
          </w:p>
        </w:tc>
        <w:tc>
          <w:tcPr>
            <w:tcW w:w="3969" w:type="dxa"/>
            <w:vAlign w:val="center"/>
          </w:tcPr>
          <w:p w14:paraId="231F6699"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36F7D628" w14:textId="77777777" w:rsidTr="00770B87">
        <w:trPr>
          <w:trHeight w:val="227"/>
        </w:trPr>
        <w:tc>
          <w:tcPr>
            <w:tcW w:w="1076" w:type="dxa"/>
            <w:vAlign w:val="center"/>
          </w:tcPr>
          <w:p w14:paraId="1F14CA84"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3.8</w:t>
            </w:r>
          </w:p>
        </w:tc>
        <w:tc>
          <w:tcPr>
            <w:tcW w:w="6403" w:type="dxa"/>
            <w:vAlign w:val="center"/>
          </w:tcPr>
          <w:p w14:paraId="7BA9F900"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ТЗЭ нь Зохицуулах зөвлөлөөс батлан гаргасан Аж ахуйн харилцааны дүрмийн дагуу хэрэглэгч нэг бүртэй  гэрээ байгуулан, ажиллана.</w:t>
            </w:r>
          </w:p>
        </w:tc>
        <w:tc>
          <w:tcPr>
            <w:tcW w:w="3969" w:type="dxa"/>
            <w:vAlign w:val="center"/>
          </w:tcPr>
          <w:p w14:paraId="42C2670B"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708EEF90" w14:textId="77777777" w:rsidTr="00770B87">
        <w:trPr>
          <w:trHeight w:val="227"/>
        </w:trPr>
        <w:tc>
          <w:tcPr>
            <w:tcW w:w="1076" w:type="dxa"/>
            <w:vAlign w:val="center"/>
          </w:tcPr>
          <w:p w14:paraId="5CDF891B"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3.9</w:t>
            </w:r>
          </w:p>
        </w:tc>
        <w:tc>
          <w:tcPr>
            <w:tcW w:w="6403" w:type="dxa"/>
            <w:vAlign w:val="center"/>
          </w:tcPr>
          <w:p w14:paraId="069BC314" w14:textId="77777777" w:rsidR="00770B87" w:rsidRPr="00770B87" w:rsidRDefault="00770B87" w:rsidP="00770B87">
            <w:pPr>
              <w:spacing w:before="120" w:after="120"/>
              <w:contextualSpacing/>
              <w:mirrorIndents/>
              <w:jc w:val="both"/>
              <w:rPr>
                <w:rFonts w:ascii="Arial" w:eastAsia="Calibri" w:hAnsi="Arial" w:cs="Arial"/>
                <w:color w:val="000000"/>
                <w:sz w:val="24"/>
                <w:szCs w:val="24"/>
              </w:rPr>
            </w:pPr>
            <w:r w:rsidRPr="00770B87">
              <w:rPr>
                <w:rFonts w:ascii="Arial" w:eastAsia="Calibri" w:hAnsi="Arial" w:cs="Arial"/>
                <w:sz w:val="20"/>
                <w:szCs w:val="24"/>
              </w:rPr>
              <w:t>Зохицуулах зөвлөлөөс шаардсан мэдээ, судалгааг заасан хугацаанд бүрэн гаргаж өгөх, үйл ажиллагаатай нь холбоотой тавьсан шаардлагыг биелүүлэн, холбогдох арга хэмжээг авч ажиллана.</w:t>
            </w:r>
          </w:p>
        </w:tc>
        <w:tc>
          <w:tcPr>
            <w:tcW w:w="3969" w:type="dxa"/>
            <w:vAlign w:val="center"/>
          </w:tcPr>
          <w:p w14:paraId="209789D2"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54E51897" w14:textId="77777777" w:rsidTr="00770B87">
        <w:trPr>
          <w:trHeight w:val="227"/>
        </w:trPr>
        <w:tc>
          <w:tcPr>
            <w:tcW w:w="1076" w:type="dxa"/>
            <w:vAlign w:val="center"/>
          </w:tcPr>
          <w:p w14:paraId="368962F2"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3.10</w:t>
            </w:r>
          </w:p>
        </w:tc>
        <w:tc>
          <w:tcPr>
            <w:tcW w:w="6403" w:type="dxa"/>
            <w:vAlign w:val="center"/>
          </w:tcPr>
          <w:p w14:paraId="4FA5ACAA"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Зохицуулах зөвлөлөөс тогтоосон хуваарийн дагуу тусгай зөвшөөрлийн зохицуулалтын үйлчилгээний хөлсийг хугацаанд нь төлнө.</w:t>
            </w:r>
          </w:p>
        </w:tc>
        <w:tc>
          <w:tcPr>
            <w:tcW w:w="3969" w:type="dxa"/>
            <w:vAlign w:val="center"/>
          </w:tcPr>
          <w:p w14:paraId="21DDCBED"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3397932E" w14:textId="77777777" w:rsidTr="00770B87">
        <w:trPr>
          <w:trHeight w:val="227"/>
        </w:trPr>
        <w:tc>
          <w:tcPr>
            <w:tcW w:w="1076" w:type="dxa"/>
            <w:vAlign w:val="center"/>
          </w:tcPr>
          <w:p w14:paraId="73ED3C5B"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3.11</w:t>
            </w:r>
          </w:p>
        </w:tc>
        <w:tc>
          <w:tcPr>
            <w:tcW w:w="6403" w:type="dxa"/>
            <w:vAlign w:val="center"/>
          </w:tcPr>
          <w:p w14:paraId="6F3177A6"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Тусгай зөвшөөрөлд заасан үйл ажиллагаанаас олох орлогын төлөвлөгөөг жил бүрийн 12 дугаар сарын 01-ний дотор Зохицуулах зөвлөлд ирүүлнэ.</w:t>
            </w:r>
          </w:p>
        </w:tc>
        <w:tc>
          <w:tcPr>
            <w:tcW w:w="3969" w:type="dxa"/>
            <w:vAlign w:val="center"/>
          </w:tcPr>
          <w:p w14:paraId="57C8209A" w14:textId="77777777" w:rsidR="00770B87" w:rsidRPr="00770B87" w:rsidRDefault="00770B87" w:rsidP="00770B87">
            <w:pPr>
              <w:spacing w:line="256" w:lineRule="auto"/>
              <w:jc w:val="center"/>
              <w:rPr>
                <w:rFonts w:ascii="Arial" w:eastAsia="Calibri" w:hAnsi="Arial" w:cs="Arial"/>
                <w:szCs w:val="20"/>
              </w:rPr>
            </w:pPr>
          </w:p>
        </w:tc>
      </w:tr>
      <w:tr w:rsidR="00770B87" w:rsidRPr="00770B87" w14:paraId="0BF7815E" w14:textId="77777777" w:rsidTr="00770B87">
        <w:trPr>
          <w:trHeight w:val="227"/>
        </w:trPr>
        <w:tc>
          <w:tcPr>
            <w:tcW w:w="1076" w:type="dxa"/>
            <w:vAlign w:val="center"/>
          </w:tcPr>
          <w:p w14:paraId="58F62061" w14:textId="77777777" w:rsidR="00770B87" w:rsidRPr="00770B87" w:rsidRDefault="00770B87" w:rsidP="00770B87">
            <w:pPr>
              <w:spacing w:line="256" w:lineRule="auto"/>
              <w:jc w:val="center"/>
              <w:rPr>
                <w:rFonts w:ascii="Arial" w:eastAsia="Calibri" w:hAnsi="Arial" w:cs="Arial"/>
                <w:sz w:val="20"/>
                <w:szCs w:val="20"/>
              </w:rPr>
            </w:pPr>
            <w:r w:rsidRPr="00770B87">
              <w:rPr>
                <w:rFonts w:ascii="Arial" w:eastAsia="Calibri" w:hAnsi="Arial" w:cs="Arial"/>
                <w:sz w:val="20"/>
                <w:szCs w:val="20"/>
              </w:rPr>
              <w:t>3.12</w:t>
            </w:r>
          </w:p>
        </w:tc>
        <w:tc>
          <w:tcPr>
            <w:tcW w:w="6403" w:type="dxa"/>
            <w:vAlign w:val="center"/>
          </w:tcPr>
          <w:p w14:paraId="75450CD1" w14:textId="77777777" w:rsidR="00770B87" w:rsidRPr="00770B87" w:rsidRDefault="00770B87" w:rsidP="00770B87">
            <w:pPr>
              <w:spacing w:line="256" w:lineRule="auto"/>
              <w:jc w:val="both"/>
              <w:rPr>
                <w:rFonts w:ascii="Arial" w:eastAsia="Calibri" w:hAnsi="Arial" w:cs="Arial"/>
                <w:sz w:val="20"/>
                <w:szCs w:val="20"/>
              </w:rPr>
            </w:pPr>
            <w:r w:rsidRPr="00770B87">
              <w:rPr>
                <w:rFonts w:ascii="Arial" w:eastAsia="Calibri" w:hAnsi="Arial" w:cs="Arial"/>
                <w:sz w:val="20"/>
                <w:szCs w:val="20"/>
              </w:rPr>
              <w:t>Үйлчилгээний чанарын талаар тодорхой зорилго, төлөвлөгөөтэй ажиллах бөгөөд өөрийн байгууллагын цахим хуудсаар дамжуулан үйлчилгээний чанарын баталгааг хэрэглэгчдэд гаргаж, хэрэгжүүлнэ.</w:t>
            </w:r>
          </w:p>
        </w:tc>
        <w:tc>
          <w:tcPr>
            <w:tcW w:w="3969" w:type="dxa"/>
            <w:vAlign w:val="center"/>
          </w:tcPr>
          <w:p w14:paraId="7509971F" w14:textId="77777777" w:rsidR="00770B87" w:rsidRPr="00770B87" w:rsidRDefault="00770B87" w:rsidP="00770B87">
            <w:pPr>
              <w:spacing w:line="256" w:lineRule="auto"/>
              <w:jc w:val="center"/>
              <w:rPr>
                <w:rFonts w:ascii="Arial" w:eastAsia="Calibri" w:hAnsi="Arial" w:cs="Arial"/>
                <w:szCs w:val="20"/>
              </w:rPr>
            </w:pPr>
          </w:p>
        </w:tc>
      </w:tr>
    </w:tbl>
    <w:p w14:paraId="5E3C1037" w14:textId="263EC294" w:rsidR="00C75D0C" w:rsidRPr="002823FA" w:rsidRDefault="00C75D0C" w:rsidP="00A909B6">
      <w:pPr>
        <w:ind w:right="200"/>
        <w:jc w:val="right"/>
        <w:rPr>
          <w:rFonts w:ascii="Arial" w:hAnsi="Arial" w:cs="Arial"/>
          <w:sz w:val="20"/>
          <w:lang w:val="mn-MN"/>
        </w:rPr>
      </w:pPr>
      <w:r w:rsidRPr="002823FA">
        <w:rPr>
          <w:rFonts w:ascii="Arial" w:hAnsi="Arial" w:cs="Arial"/>
          <w:sz w:val="20"/>
          <w:lang w:val="mn-MN"/>
        </w:rPr>
        <w:t xml:space="preserve">                           </w:t>
      </w:r>
    </w:p>
    <w:p w14:paraId="1ABF44E4" w14:textId="77777777" w:rsidR="00770B87" w:rsidRPr="00514B90" w:rsidRDefault="00770B87" w:rsidP="00770B87">
      <w:pPr>
        <w:jc w:val="center"/>
        <w:rPr>
          <w:rFonts w:ascii="Arial" w:hAnsi="Arial" w:cs="Arial"/>
          <w:sz w:val="20"/>
          <w:lang w:val="mn-MN"/>
        </w:rPr>
      </w:pPr>
      <w:r w:rsidRPr="00514B90">
        <w:rPr>
          <w:rFonts w:ascii="Arial" w:hAnsi="Arial" w:cs="Arial"/>
          <w:sz w:val="20"/>
          <w:lang w:val="mn-MN"/>
        </w:rPr>
        <w:t>Биелэлт гаргасан: ..........................................</w:t>
      </w:r>
      <w:r>
        <w:rPr>
          <w:rFonts w:ascii="Arial" w:hAnsi="Arial" w:cs="Arial"/>
          <w:sz w:val="20"/>
          <w:lang w:val="mn-MN"/>
        </w:rPr>
        <w:t xml:space="preserve"> </w:t>
      </w:r>
      <w:r w:rsidRPr="00514B90">
        <w:rPr>
          <w:rFonts w:ascii="Arial" w:hAnsi="Arial" w:cs="Arial"/>
          <w:sz w:val="20"/>
          <w:lang w:val="mn-MN"/>
        </w:rPr>
        <w:t>/Нэр, албан тушаал/</w:t>
      </w:r>
    </w:p>
    <w:p w14:paraId="36C2A988" w14:textId="34C03BF7" w:rsidR="00770B87" w:rsidRPr="00514B90" w:rsidRDefault="00770B87" w:rsidP="00770B87">
      <w:pPr>
        <w:rPr>
          <w:rFonts w:ascii="Arial" w:hAnsi="Arial" w:cs="Arial"/>
          <w:sz w:val="20"/>
          <w:lang w:val="mn-MN"/>
        </w:rPr>
      </w:pPr>
      <w:r w:rsidRPr="00514B90">
        <w:rPr>
          <w:rFonts w:ascii="Arial" w:hAnsi="Arial" w:cs="Arial"/>
          <w:sz w:val="20"/>
          <w:lang w:val="mn-MN"/>
        </w:rPr>
        <w:t xml:space="preserve">                                    </w:t>
      </w:r>
      <w:r>
        <w:rPr>
          <w:rFonts w:ascii="Arial" w:hAnsi="Arial" w:cs="Arial"/>
          <w:sz w:val="20"/>
          <w:lang w:val="mn-MN"/>
        </w:rPr>
        <w:t xml:space="preserve">                           </w:t>
      </w:r>
      <w:r w:rsidRPr="00514B90">
        <w:rPr>
          <w:rFonts w:ascii="Arial" w:hAnsi="Arial" w:cs="Arial"/>
          <w:sz w:val="20"/>
          <w:lang w:val="mn-MN"/>
        </w:rPr>
        <w:t xml:space="preserve"> </w:t>
      </w:r>
      <w:r>
        <w:rPr>
          <w:rFonts w:ascii="Arial" w:hAnsi="Arial" w:cs="Arial"/>
          <w:sz w:val="20"/>
          <w:lang w:val="mn-MN"/>
        </w:rPr>
        <w:t xml:space="preserve">                             </w:t>
      </w:r>
      <w:r w:rsidRPr="00514B90">
        <w:rPr>
          <w:rFonts w:ascii="Arial" w:hAnsi="Arial" w:cs="Arial"/>
          <w:sz w:val="20"/>
          <w:lang w:val="mn-MN"/>
        </w:rPr>
        <w:t>/Тамга, тэмдэг/</w:t>
      </w:r>
    </w:p>
    <w:p w14:paraId="1AF9320A" w14:textId="77777777" w:rsidR="008942B7" w:rsidRPr="0013374D" w:rsidRDefault="008942B7" w:rsidP="002941B0">
      <w:pPr>
        <w:rPr>
          <w:rFonts w:ascii="Arial" w:hAnsi="Arial" w:cs="Arial"/>
          <w:sz w:val="20"/>
          <w:lang w:val="mn-MN"/>
        </w:rPr>
      </w:pPr>
    </w:p>
    <w:p w14:paraId="200EC189" w14:textId="77777777" w:rsidR="00770B87" w:rsidRPr="00514B90" w:rsidRDefault="00770B87">
      <w:pPr>
        <w:rPr>
          <w:rFonts w:ascii="Arial" w:hAnsi="Arial" w:cs="Arial"/>
          <w:sz w:val="20"/>
          <w:lang w:val="mn-MN"/>
        </w:rPr>
      </w:pPr>
    </w:p>
    <w:sectPr w:rsidR="00770B87" w:rsidRPr="00514B90" w:rsidSect="00770B87">
      <w:pgSz w:w="12240" w:h="15840"/>
      <w:pgMar w:top="709" w:right="426" w:bottom="284"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B4AD" w14:textId="77777777" w:rsidR="00B62606" w:rsidRDefault="00B62606" w:rsidP="00514B90">
      <w:pPr>
        <w:spacing w:after="0" w:line="240" w:lineRule="auto"/>
      </w:pPr>
      <w:r>
        <w:separator/>
      </w:r>
    </w:p>
  </w:endnote>
  <w:endnote w:type="continuationSeparator" w:id="0">
    <w:p w14:paraId="42AAF72D" w14:textId="77777777" w:rsidR="00B62606" w:rsidRDefault="00B62606" w:rsidP="0051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B0993" w14:textId="77777777" w:rsidR="00B62606" w:rsidRDefault="00B62606" w:rsidP="00514B90">
      <w:pPr>
        <w:spacing w:after="0" w:line="240" w:lineRule="auto"/>
      </w:pPr>
      <w:r>
        <w:separator/>
      </w:r>
    </w:p>
  </w:footnote>
  <w:footnote w:type="continuationSeparator" w:id="0">
    <w:p w14:paraId="35367C79" w14:textId="77777777" w:rsidR="00B62606" w:rsidRDefault="00B62606" w:rsidP="00514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3E72"/>
    <w:multiLevelType w:val="hybridMultilevel"/>
    <w:tmpl w:val="94424266"/>
    <w:lvl w:ilvl="0" w:tplc="7D0CA50C">
      <w:start w:val="1"/>
      <w:numFmt w:val="decimal"/>
      <w:lvlText w:val="3.%1."/>
      <w:lvlJc w:val="left"/>
      <w:pPr>
        <w:ind w:left="1125" w:hanging="360"/>
      </w:pPr>
      <w:rPr>
        <w:rFonts w:ascii="Arial" w:hAnsi="Arial" w:cs="Times New Roman" w:hint="default"/>
        <w:b w:val="0"/>
        <w:i w:val="0"/>
        <w:strike w:val="0"/>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C"/>
    <w:rsid w:val="00090EC2"/>
    <w:rsid w:val="000B0DFA"/>
    <w:rsid w:val="0011291A"/>
    <w:rsid w:val="0013374D"/>
    <w:rsid w:val="001B6410"/>
    <w:rsid w:val="002005D4"/>
    <w:rsid w:val="002823FA"/>
    <w:rsid w:val="00283F15"/>
    <w:rsid w:val="002941B0"/>
    <w:rsid w:val="002B3A3B"/>
    <w:rsid w:val="003750E6"/>
    <w:rsid w:val="004238D7"/>
    <w:rsid w:val="00514B90"/>
    <w:rsid w:val="00523608"/>
    <w:rsid w:val="005434EC"/>
    <w:rsid w:val="00573C34"/>
    <w:rsid w:val="005A1DF0"/>
    <w:rsid w:val="005A57F4"/>
    <w:rsid w:val="00611B92"/>
    <w:rsid w:val="00656D02"/>
    <w:rsid w:val="007079B9"/>
    <w:rsid w:val="00770726"/>
    <w:rsid w:val="00770B87"/>
    <w:rsid w:val="007B586A"/>
    <w:rsid w:val="00881BA1"/>
    <w:rsid w:val="008942B7"/>
    <w:rsid w:val="008955E1"/>
    <w:rsid w:val="009009AC"/>
    <w:rsid w:val="009166AC"/>
    <w:rsid w:val="00985041"/>
    <w:rsid w:val="009B7AFF"/>
    <w:rsid w:val="009E28BB"/>
    <w:rsid w:val="00A134FE"/>
    <w:rsid w:val="00A20B39"/>
    <w:rsid w:val="00A67601"/>
    <w:rsid w:val="00A909B6"/>
    <w:rsid w:val="00A9735A"/>
    <w:rsid w:val="00B00C18"/>
    <w:rsid w:val="00B1664E"/>
    <w:rsid w:val="00B62606"/>
    <w:rsid w:val="00B93A3C"/>
    <w:rsid w:val="00BB4C8B"/>
    <w:rsid w:val="00BC50D4"/>
    <w:rsid w:val="00BC7BE7"/>
    <w:rsid w:val="00C01788"/>
    <w:rsid w:val="00C75D0C"/>
    <w:rsid w:val="00C80A71"/>
    <w:rsid w:val="00D42398"/>
    <w:rsid w:val="00D5301B"/>
    <w:rsid w:val="00DC511F"/>
    <w:rsid w:val="00E8109B"/>
    <w:rsid w:val="00F11CBB"/>
    <w:rsid w:val="00F54688"/>
    <w:rsid w:val="00F84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11F2"/>
  <w15:docId w15:val="{B5236D11-5469-4BBB-A68D-19437C3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0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D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90"/>
    <w:rPr>
      <w:rFonts w:eastAsiaTheme="minorHAnsi"/>
      <w:lang w:eastAsia="en-US"/>
    </w:rPr>
  </w:style>
  <w:style w:type="paragraph" w:styleId="Footer">
    <w:name w:val="footer"/>
    <w:basedOn w:val="Normal"/>
    <w:link w:val="FooterChar"/>
    <w:uiPriority w:val="99"/>
    <w:unhideWhenUsed/>
    <w:rsid w:val="00514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90"/>
    <w:rPr>
      <w:rFonts w:eastAsiaTheme="minorHAnsi"/>
      <w:lang w:eastAsia="en-US"/>
    </w:rPr>
  </w:style>
  <w:style w:type="paragraph" w:styleId="BalloonText">
    <w:name w:val="Balloon Text"/>
    <w:basedOn w:val="Normal"/>
    <w:link w:val="BalloonTextChar"/>
    <w:uiPriority w:val="99"/>
    <w:semiHidden/>
    <w:unhideWhenUsed/>
    <w:rsid w:val="00B0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18"/>
    <w:rPr>
      <w:rFonts w:ascii="Segoe UI" w:eastAsiaTheme="minorHAnsi" w:hAnsi="Segoe UI" w:cs="Segoe UI"/>
      <w:sz w:val="18"/>
      <w:szCs w:val="18"/>
      <w:lang w:eastAsia="en-US"/>
    </w:rPr>
  </w:style>
  <w:style w:type="table" w:customStyle="1" w:styleId="TableGrid1">
    <w:name w:val="Table Grid1"/>
    <w:basedOn w:val="TableNormal"/>
    <w:next w:val="TableGrid"/>
    <w:uiPriority w:val="59"/>
    <w:rsid w:val="00770B87"/>
    <w:pPr>
      <w:spacing w:after="0" w:line="240" w:lineRule="auto"/>
    </w:pPr>
    <w:rPr>
      <w:rFonts w:ascii="Calibri" w:eastAsia="Calibri" w:hAnsi="Calibri" w:cs="Times New Roman"/>
      <w:lang w:val="mn-M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Nyamka</dc:creator>
  <cp:lastModifiedBy>Dell</cp:lastModifiedBy>
  <cp:revision>131</cp:revision>
  <cp:lastPrinted>2019-01-16T05:51:00Z</cp:lastPrinted>
  <dcterms:created xsi:type="dcterms:W3CDTF">2014-10-21T09:07:00Z</dcterms:created>
  <dcterms:modified xsi:type="dcterms:W3CDTF">2021-12-16T03:36:00Z</dcterms:modified>
</cp:coreProperties>
</file>